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2DEF" w14:textId="15FDC21D" w:rsidR="00064B15" w:rsidRPr="00151E18" w:rsidRDefault="00151E18" w:rsidP="00064B15">
      <w:pPr>
        <w:jc w:val="center"/>
        <w:rPr>
          <w:b/>
          <w:i/>
          <w:sz w:val="20"/>
          <w:szCs w:val="20"/>
          <w:u w:val="single"/>
          <w:lang w:val="es-CR"/>
        </w:rPr>
      </w:pPr>
      <w:r w:rsidRPr="00A27BEB">
        <w:rPr>
          <w:b/>
          <w:iCs/>
          <w:sz w:val="20"/>
          <w:szCs w:val="20"/>
          <w:u w:val="single"/>
          <w:lang w:val="es-CR"/>
        </w:rPr>
        <w:t xml:space="preserve">Caso </w:t>
      </w:r>
      <w:r w:rsidR="004F2A4A" w:rsidRPr="00A27BEB">
        <w:rPr>
          <w:b/>
          <w:iCs/>
          <w:sz w:val="20"/>
          <w:szCs w:val="20"/>
          <w:u w:val="single"/>
          <w:lang w:val="es-CR"/>
        </w:rPr>
        <w:t>Alvarado Espinoza y otros</w:t>
      </w:r>
      <w:r w:rsidRPr="00A27BEB">
        <w:rPr>
          <w:b/>
          <w:iCs/>
          <w:sz w:val="20"/>
          <w:szCs w:val="20"/>
          <w:u w:val="single"/>
          <w:lang w:val="es-CR"/>
        </w:rPr>
        <w:t xml:space="preserve"> </w:t>
      </w:r>
      <w:r w:rsidRPr="00A27BEB">
        <w:rPr>
          <w:b/>
          <w:i/>
          <w:sz w:val="20"/>
          <w:szCs w:val="20"/>
          <w:u w:val="single"/>
          <w:lang w:val="es-CR"/>
        </w:rPr>
        <w:t>Vs</w:t>
      </w:r>
      <w:r w:rsidRPr="00A27BEB">
        <w:rPr>
          <w:b/>
          <w:iCs/>
          <w:sz w:val="20"/>
          <w:szCs w:val="20"/>
          <w:u w:val="single"/>
          <w:lang w:val="es-CR"/>
        </w:rPr>
        <w:t xml:space="preserve">. </w:t>
      </w:r>
      <w:r w:rsidR="00A27BEB" w:rsidRPr="00A27BEB">
        <w:rPr>
          <w:b/>
          <w:iCs/>
          <w:sz w:val="20"/>
          <w:szCs w:val="20"/>
          <w:u w:val="single"/>
          <w:lang w:val="es-CR"/>
        </w:rPr>
        <w:t>México</w:t>
      </w:r>
      <w:r w:rsidR="00EA0D60" w:rsidRPr="00A27BEB">
        <w:rPr>
          <w:b/>
          <w:iCs/>
          <w:sz w:val="20"/>
          <w:szCs w:val="20"/>
          <w:u w:val="single"/>
          <w:lang w:val="es-CR"/>
        </w:rPr>
        <w:t>:</w:t>
      </w:r>
      <w:r w:rsidR="00EA0D60" w:rsidRPr="00EA0D60">
        <w:rPr>
          <w:b/>
          <w:i/>
          <w:sz w:val="20"/>
          <w:szCs w:val="20"/>
          <w:u w:val="single"/>
          <w:lang w:val="es-CR"/>
        </w:rPr>
        <w:t xml:space="preserve"> </w:t>
      </w:r>
      <w:r w:rsidR="00EA0D60" w:rsidRPr="00EA0D60">
        <w:rPr>
          <w:b/>
          <w:sz w:val="20"/>
          <w:szCs w:val="20"/>
          <w:u w:val="single"/>
          <w:lang w:val="es-CR"/>
        </w:rPr>
        <w:t>reparaciones declaradas cumplidas</w:t>
      </w:r>
    </w:p>
    <w:p w14:paraId="31A12DF0" w14:textId="77777777" w:rsidR="004F2A4A" w:rsidRDefault="004F2A4A" w:rsidP="004F2A4A">
      <w:pPr>
        <w:kinsoku w:val="0"/>
        <w:overflowPunct w:val="0"/>
        <w:autoSpaceDE w:val="0"/>
        <w:autoSpaceDN w:val="0"/>
        <w:adjustRightInd w:val="0"/>
        <w:ind w:right="116"/>
        <w:jc w:val="both"/>
        <w:rPr>
          <w:sz w:val="20"/>
          <w:szCs w:val="20"/>
        </w:rPr>
      </w:pPr>
    </w:p>
    <w:p w14:paraId="31A12DF1" w14:textId="77777777" w:rsidR="004F2A4A" w:rsidRDefault="004F2A4A" w:rsidP="004F2A4A">
      <w:pPr>
        <w:kinsoku w:val="0"/>
        <w:overflowPunct w:val="0"/>
        <w:autoSpaceDE w:val="0"/>
        <w:autoSpaceDN w:val="0"/>
        <w:adjustRightInd w:val="0"/>
        <w:ind w:right="116"/>
        <w:jc w:val="both"/>
        <w:rPr>
          <w:sz w:val="20"/>
          <w:szCs w:val="20"/>
        </w:rPr>
      </w:pPr>
    </w:p>
    <w:p w14:paraId="027C1FC3" w14:textId="32D6BEC1" w:rsidR="0075509B" w:rsidRPr="0075509B" w:rsidRDefault="0075509B" w:rsidP="008077D3">
      <w:pPr>
        <w:numPr>
          <w:ilvl w:val="0"/>
          <w:numId w:val="16"/>
        </w:numPr>
        <w:tabs>
          <w:tab w:val="left" w:pos="462"/>
        </w:tabs>
        <w:kinsoku w:val="0"/>
        <w:overflowPunct w:val="0"/>
        <w:autoSpaceDE w:val="0"/>
        <w:autoSpaceDN w:val="0"/>
        <w:adjustRightInd w:val="0"/>
        <w:spacing w:line="243" w:lineRule="exact"/>
        <w:ind w:left="0" w:firstLine="0"/>
        <w:jc w:val="both"/>
        <w:rPr>
          <w:rFonts w:eastAsiaTheme="minorHAnsi" w:cs="Verdana"/>
          <w:sz w:val="24"/>
          <w:lang w:val="es-CR"/>
        </w:rPr>
      </w:pPr>
      <w:r w:rsidRPr="0075509B">
        <w:rPr>
          <w:sz w:val="20"/>
          <w:szCs w:val="32"/>
        </w:rPr>
        <w:t>El Estado debe pagar la suma establecida en el párrafo 308 de la Sentencia en concepto de gastos por atención psicológica o psiquiátrica, a aquellas víctimas que residan fuera de México.</w:t>
      </w:r>
    </w:p>
    <w:p w14:paraId="6720C5B7" w14:textId="77777777" w:rsidR="0075509B" w:rsidRDefault="0075509B" w:rsidP="0075509B">
      <w:pPr>
        <w:tabs>
          <w:tab w:val="left" w:pos="462"/>
        </w:tabs>
        <w:kinsoku w:val="0"/>
        <w:overflowPunct w:val="0"/>
        <w:autoSpaceDE w:val="0"/>
        <w:autoSpaceDN w:val="0"/>
        <w:adjustRightInd w:val="0"/>
        <w:spacing w:line="243" w:lineRule="exact"/>
        <w:jc w:val="both"/>
        <w:rPr>
          <w:rFonts w:eastAsiaTheme="minorHAnsi" w:cs="Verdana"/>
          <w:sz w:val="20"/>
          <w:szCs w:val="20"/>
          <w:lang w:val="es-CR"/>
        </w:rPr>
      </w:pPr>
    </w:p>
    <w:p w14:paraId="10BFD9C4" w14:textId="4A03AD6B" w:rsidR="003D2D37" w:rsidRPr="008077D3" w:rsidRDefault="003D2D37" w:rsidP="008077D3">
      <w:pPr>
        <w:numPr>
          <w:ilvl w:val="0"/>
          <w:numId w:val="16"/>
        </w:numPr>
        <w:tabs>
          <w:tab w:val="left" w:pos="462"/>
        </w:tabs>
        <w:kinsoku w:val="0"/>
        <w:overflowPunct w:val="0"/>
        <w:autoSpaceDE w:val="0"/>
        <w:autoSpaceDN w:val="0"/>
        <w:adjustRightInd w:val="0"/>
        <w:spacing w:line="243" w:lineRule="exact"/>
        <w:ind w:left="0" w:firstLine="0"/>
        <w:jc w:val="both"/>
        <w:rPr>
          <w:rFonts w:eastAsiaTheme="minorHAnsi" w:cs="Verdana"/>
          <w:sz w:val="20"/>
          <w:szCs w:val="20"/>
          <w:lang w:val="es-CR"/>
        </w:rPr>
      </w:pPr>
      <w:r w:rsidRPr="00B95914">
        <w:rPr>
          <w:rFonts w:eastAsiaTheme="minorHAnsi" w:cs="Verdana"/>
          <w:sz w:val="20"/>
          <w:szCs w:val="20"/>
          <w:lang w:val="es-CR"/>
        </w:rPr>
        <w:t>El</w:t>
      </w:r>
      <w:r w:rsidRPr="00B95914">
        <w:rPr>
          <w:rFonts w:eastAsiaTheme="minorHAnsi" w:cs="Verdana"/>
          <w:spacing w:val="-1"/>
          <w:sz w:val="20"/>
          <w:szCs w:val="20"/>
          <w:lang w:val="es-CR"/>
        </w:rPr>
        <w:t xml:space="preserve"> </w:t>
      </w:r>
      <w:r w:rsidRPr="00B95914">
        <w:rPr>
          <w:rFonts w:eastAsiaTheme="minorHAnsi" w:cs="Verdana"/>
          <w:sz w:val="20"/>
          <w:szCs w:val="20"/>
          <w:lang w:val="es-CR"/>
        </w:rPr>
        <w:t>Estado,</w:t>
      </w:r>
      <w:r w:rsidRPr="00B95914">
        <w:rPr>
          <w:rFonts w:eastAsiaTheme="minorHAnsi" w:cs="Verdana"/>
          <w:spacing w:val="-2"/>
          <w:sz w:val="20"/>
          <w:szCs w:val="20"/>
          <w:lang w:val="es-CR"/>
        </w:rPr>
        <w:t xml:space="preserve"> </w:t>
      </w:r>
      <w:r w:rsidRPr="00B95914">
        <w:rPr>
          <w:rFonts w:eastAsiaTheme="minorHAnsi" w:cs="Verdana"/>
          <w:sz w:val="20"/>
          <w:szCs w:val="20"/>
          <w:lang w:val="es-CR"/>
        </w:rPr>
        <w:t>en el</w:t>
      </w:r>
      <w:r w:rsidRPr="008077D3">
        <w:rPr>
          <w:rFonts w:eastAsiaTheme="minorHAnsi" w:cs="Verdana"/>
          <w:sz w:val="20"/>
          <w:szCs w:val="20"/>
          <w:lang w:val="es-CR"/>
        </w:rPr>
        <w:t xml:space="preserve"> </w:t>
      </w:r>
      <w:r w:rsidRPr="00B95914">
        <w:rPr>
          <w:rFonts w:eastAsiaTheme="minorHAnsi" w:cs="Verdana"/>
          <w:sz w:val="20"/>
          <w:szCs w:val="20"/>
          <w:lang w:val="es-CR"/>
        </w:rPr>
        <w:t>plazo</w:t>
      </w:r>
      <w:r w:rsidRPr="008077D3">
        <w:rPr>
          <w:rFonts w:eastAsiaTheme="minorHAnsi" w:cs="Verdana"/>
          <w:sz w:val="20"/>
          <w:szCs w:val="20"/>
          <w:lang w:val="es-CR"/>
        </w:rPr>
        <w:t xml:space="preserve"> </w:t>
      </w:r>
      <w:r w:rsidRPr="00B95914">
        <w:rPr>
          <w:rFonts w:eastAsiaTheme="minorHAnsi" w:cs="Verdana"/>
          <w:sz w:val="20"/>
          <w:szCs w:val="20"/>
          <w:lang w:val="es-CR"/>
        </w:rPr>
        <w:t>de</w:t>
      </w:r>
      <w:r w:rsidRPr="008077D3">
        <w:rPr>
          <w:rFonts w:eastAsiaTheme="minorHAnsi" w:cs="Verdana"/>
          <w:sz w:val="20"/>
          <w:szCs w:val="20"/>
          <w:lang w:val="es-CR"/>
        </w:rPr>
        <w:t xml:space="preserve"> </w:t>
      </w:r>
      <w:r w:rsidRPr="00B95914">
        <w:rPr>
          <w:rFonts w:eastAsiaTheme="minorHAnsi" w:cs="Verdana"/>
          <w:sz w:val="20"/>
          <w:szCs w:val="20"/>
          <w:lang w:val="es-CR"/>
        </w:rPr>
        <w:t>seis</w:t>
      </w:r>
      <w:r w:rsidRPr="008077D3">
        <w:rPr>
          <w:rFonts w:eastAsiaTheme="minorHAnsi" w:cs="Verdana"/>
          <w:sz w:val="20"/>
          <w:szCs w:val="20"/>
          <w:lang w:val="es-CR"/>
        </w:rPr>
        <w:t xml:space="preserve"> </w:t>
      </w:r>
      <w:r w:rsidRPr="00B95914">
        <w:rPr>
          <w:rFonts w:eastAsiaTheme="minorHAnsi" w:cs="Verdana"/>
          <w:sz w:val="20"/>
          <w:szCs w:val="20"/>
          <w:lang w:val="es-CR"/>
        </w:rPr>
        <w:t>meses,</w:t>
      </w:r>
      <w:r w:rsidRPr="008077D3">
        <w:rPr>
          <w:rFonts w:eastAsiaTheme="minorHAnsi" w:cs="Verdana"/>
          <w:sz w:val="20"/>
          <w:szCs w:val="20"/>
          <w:lang w:val="es-CR"/>
        </w:rPr>
        <w:t xml:space="preserve"> </w:t>
      </w:r>
      <w:r w:rsidRPr="00B95914">
        <w:rPr>
          <w:rFonts w:eastAsiaTheme="minorHAnsi" w:cs="Verdana"/>
          <w:sz w:val="20"/>
          <w:szCs w:val="20"/>
          <w:lang w:val="es-CR"/>
        </w:rPr>
        <w:t>debe</w:t>
      </w:r>
      <w:r w:rsidRPr="008077D3">
        <w:rPr>
          <w:rFonts w:eastAsiaTheme="minorHAnsi" w:cs="Verdana"/>
          <w:sz w:val="20"/>
          <w:szCs w:val="20"/>
          <w:lang w:val="es-CR"/>
        </w:rPr>
        <w:t xml:space="preserve"> </w:t>
      </w:r>
      <w:r w:rsidRPr="00B95914">
        <w:rPr>
          <w:rFonts w:eastAsiaTheme="minorHAnsi" w:cs="Verdana"/>
          <w:sz w:val="20"/>
          <w:szCs w:val="20"/>
          <w:lang w:val="es-CR"/>
        </w:rPr>
        <w:t>realizar</w:t>
      </w:r>
      <w:r w:rsidRPr="008077D3">
        <w:rPr>
          <w:rFonts w:eastAsiaTheme="minorHAnsi" w:cs="Verdana"/>
          <w:sz w:val="20"/>
          <w:szCs w:val="20"/>
          <w:lang w:val="es-CR"/>
        </w:rPr>
        <w:t xml:space="preserve"> </w:t>
      </w:r>
      <w:r w:rsidRPr="00B95914">
        <w:rPr>
          <w:rFonts w:eastAsiaTheme="minorHAnsi" w:cs="Verdana"/>
          <w:sz w:val="20"/>
          <w:szCs w:val="20"/>
          <w:lang w:val="es-CR"/>
        </w:rPr>
        <w:t>las</w:t>
      </w:r>
      <w:r w:rsidRPr="008077D3">
        <w:rPr>
          <w:rFonts w:eastAsiaTheme="minorHAnsi" w:cs="Verdana"/>
          <w:sz w:val="20"/>
          <w:szCs w:val="20"/>
          <w:lang w:val="es-CR"/>
        </w:rPr>
        <w:t xml:space="preserve"> </w:t>
      </w:r>
      <w:r w:rsidRPr="00B95914">
        <w:rPr>
          <w:rFonts w:eastAsiaTheme="minorHAnsi" w:cs="Verdana"/>
          <w:sz w:val="20"/>
          <w:szCs w:val="20"/>
          <w:lang w:val="es-CR"/>
        </w:rPr>
        <w:t>publicaciones</w:t>
      </w:r>
      <w:r w:rsidRPr="008077D3">
        <w:rPr>
          <w:rFonts w:eastAsiaTheme="minorHAnsi" w:cs="Verdana"/>
          <w:sz w:val="20"/>
          <w:szCs w:val="20"/>
          <w:lang w:val="es-CR"/>
        </w:rPr>
        <w:t xml:space="preserve"> </w:t>
      </w:r>
      <w:r w:rsidRPr="00B95914">
        <w:rPr>
          <w:rFonts w:eastAsiaTheme="minorHAnsi" w:cs="Verdana"/>
          <w:sz w:val="20"/>
          <w:szCs w:val="20"/>
          <w:lang w:val="es-CR"/>
        </w:rPr>
        <w:t>indicadas</w:t>
      </w:r>
      <w:r w:rsidRPr="008077D3">
        <w:rPr>
          <w:rFonts w:eastAsiaTheme="minorHAnsi" w:cs="Verdana"/>
          <w:sz w:val="20"/>
          <w:szCs w:val="20"/>
          <w:lang w:val="es-CR"/>
        </w:rPr>
        <w:t xml:space="preserve"> </w:t>
      </w:r>
      <w:r w:rsidRPr="00B95914">
        <w:rPr>
          <w:rFonts w:eastAsiaTheme="minorHAnsi" w:cs="Verdana"/>
          <w:sz w:val="20"/>
          <w:szCs w:val="20"/>
          <w:lang w:val="es-CR"/>
        </w:rPr>
        <w:t>en el</w:t>
      </w:r>
      <w:r w:rsidRPr="008077D3">
        <w:rPr>
          <w:rFonts w:eastAsiaTheme="minorHAnsi" w:cs="Verdana"/>
          <w:sz w:val="20"/>
          <w:szCs w:val="20"/>
          <w:lang w:val="es-CR"/>
        </w:rPr>
        <w:t xml:space="preserve"> </w:t>
      </w:r>
      <w:r w:rsidRPr="00B95914">
        <w:rPr>
          <w:rFonts w:eastAsiaTheme="minorHAnsi" w:cs="Verdana"/>
          <w:sz w:val="20"/>
          <w:szCs w:val="20"/>
          <w:lang w:val="es-CR"/>
        </w:rPr>
        <w:t>párrafo</w:t>
      </w:r>
      <w:r w:rsidRPr="008077D3">
        <w:rPr>
          <w:rFonts w:eastAsiaTheme="minorHAnsi" w:cs="Verdana"/>
          <w:sz w:val="20"/>
          <w:szCs w:val="20"/>
          <w:lang w:val="es-CR"/>
        </w:rPr>
        <w:t xml:space="preserve"> </w:t>
      </w:r>
      <w:r w:rsidRPr="00B95914">
        <w:rPr>
          <w:rFonts w:eastAsiaTheme="minorHAnsi" w:cs="Verdana"/>
          <w:sz w:val="20"/>
          <w:szCs w:val="20"/>
          <w:lang w:val="es-CR"/>
        </w:rPr>
        <w:t>313</w:t>
      </w:r>
      <w:r w:rsidRPr="008077D3">
        <w:rPr>
          <w:rFonts w:eastAsiaTheme="minorHAnsi" w:cs="Verdana"/>
          <w:sz w:val="20"/>
          <w:szCs w:val="20"/>
          <w:lang w:val="es-CR"/>
        </w:rPr>
        <w:t xml:space="preserve"> </w:t>
      </w:r>
      <w:r w:rsidRPr="00B95914">
        <w:rPr>
          <w:rFonts w:eastAsiaTheme="minorHAnsi" w:cs="Verdana"/>
          <w:sz w:val="20"/>
          <w:szCs w:val="20"/>
          <w:lang w:val="es-CR"/>
        </w:rPr>
        <w:t>de</w:t>
      </w:r>
      <w:r w:rsidRPr="008077D3">
        <w:rPr>
          <w:rFonts w:eastAsiaTheme="minorHAnsi" w:cs="Verdana"/>
          <w:sz w:val="20"/>
          <w:szCs w:val="20"/>
          <w:lang w:val="es-CR"/>
        </w:rPr>
        <w:t xml:space="preserve"> </w:t>
      </w:r>
      <w:r w:rsidR="00555077">
        <w:rPr>
          <w:rFonts w:eastAsiaTheme="minorHAnsi" w:cs="Verdana"/>
          <w:sz w:val="20"/>
          <w:szCs w:val="20"/>
          <w:lang w:val="es-CR"/>
        </w:rPr>
        <w:t>la</w:t>
      </w:r>
      <w:r w:rsidRPr="008077D3">
        <w:rPr>
          <w:rFonts w:eastAsiaTheme="minorHAnsi" w:cs="Verdana"/>
          <w:sz w:val="20"/>
          <w:szCs w:val="20"/>
          <w:lang w:val="es-CR"/>
        </w:rPr>
        <w:t xml:space="preserve"> </w:t>
      </w:r>
      <w:r w:rsidRPr="00B95914">
        <w:rPr>
          <w:rFonts w:eastAsiaTheme="minorHAnsi" w:cs="Verdana"/>
          <w:sz w:val="20"/>
          <w:szCs w:val="20"/>
          <w:lang w:val="es-CR"/>
        </w:rPr>
        <w:t>Sentencia,</w:t>
      </w:r>
      <w:r w:rsidRPr="008077D3">
        <w:rPr>
          <w:rFonts w:eastAsiaTheme="minorHAnsi" w:cs="Verdana"/>
          <w:sz w:val="20"/>
          <w:szCs w:val="20"/>
          <w:lang w:val="es-CR"/>
        </w:rPr>
        <w:t xml:space="preserve"> </w:t>
      </w:r>
      <w:r w:rsidRPr="00B95914">
        <w:rPr>
          <w:rFonts w:eastAsiaTheme="minorHAnsi" w:cs="Verdana"/>
          <w:sz w:val="20"/>
          <w:szCs w:val="20"/>
          <w:lang w:val="es-CR"/>
        </w:rPr>
        <w:t>de</w:t>
      </w:r>
      <w:r w:rsidRPr="008077D3">
        <w:rPr>
          <w:rFonts w:eastAsiaTheme="minorHAnsi" w:cs="Verdana"/>
          <w:sz w:val="20"/>
          <w:szCs w:val="20"/>
          <w:lang w:val="es-CR"/>
        </w:rPr>
        <w:t xml:space="preserve"> </w:t>
      </w:r>
      <w:r w:rsidRPr="00B95914">
        <w:rPr>
          <w:rFonts w:eastAsiaTheme="minorHAnsi" w:cs="Verdana"/>
          <w:sz w:val="20"/>
          <w:szCs w:val="20"/>
          <w:lang w:val="es-CR"/>
        </w:rPr>
        <w:t>conformidad</w:t>
      </w:r>
      <w:r w:rsidRPr="008077D3">
        <w:rPr>
          <w:rFonts w:eastAsiaTheme="minorHAnsi" w:cs="Verdana"/>
          <w:sz w:val="20"/>
          <w:szCs w:val="20"/>
          <w:lang w:val="es-CR"/>
        </w:rPr>
        <w:t xml:space="preserve"> </w:t>
      </w:r>
      <w:r w:rsidRPr="00B95914">
        <w:rPr>
          <w:rFonts w:eastAsiaTheme="minorHAnsi" w:cs="Verdana"/>
          <w:sz w:val="20"/>
          <w:szCs w:val="20"/>
          <w:lang w:val="es-CR"/>
        </w:rPr>
        <w:t>con</w:t>
      </w:r>
      <w:r w:rsidRPr="008077D3">
        <w:rPr>
          <w:rFonts w:eastAsiaTheme="minorHAnsi" w:cs="Verdana"/>
          <w:sz w:val="20"/>
          <w:szCs w:val="20"/>
          <w:lang w:val="es-CR"/>
        </w:rPr>
        <w:t xml:space="preserve"> </w:t>
      </w:r>
      <w:r w:rsidRPr="00B95914">
        <w:rPr>
          <w:rFonts w:eastAsiaTheme="minorHAnsi" w:cs="Verdana"/>
          <w:sz w:val="20"/>
          <w:szCs w:val="20"/>
          <w:lang w:val="es-CR"/>
        </w:rPr>
        <w:t>lo</w:t>
      </w:r>
      <w:r w:rsidRPr="008077D3">
        <w:rPr>
          <w:rFonts w:eastAsiaTheme="minorHAnsi" w:cs="Verdana"/>
          <w:sz w:val="20"/>
          <w:szCs w:val="20"/>
          <w:lang w:val="es-CR"/>
        </w:rPr>
        <w:t xml:space="preserve"> </w:t>
      </w:r>
      <w:r w:rsidRPr="00B95914">
        <w:rPr>
          <w:rFonts w:eastAsiaTheme="minorHAnsi" w:cs="Verdana"/>
          <w:sz w:val="20"/>
          <w:szCs w:val="20"/>
          <w:lang w:val="es-CR"/>
        </w:rPr>
        <w:t>establecido</w:t>
      </w:r>
      <w:r w:rsidRPr="008077D3">
        <w:rPr>
          <w:rFonts w:eastAsiaTheme="minorHAnsi" w:cs="Verdana"/>
          <w:sz w:val="20"/>
          <w:szCs w:val="20"/>
          <w:lang w:val="es-CR"/>
        </w:rPr>
        <w:t xml:space="preserve"> </w:t>
      </w:r>
      <w:r w:rsidRPr="00B95914">
        <w:rPr>
          <w:rFonts w:eastAsiaTheme="minorHAnsi" w:cs="Verdana"/>
          <w:sz w:val="20"/>
          <w:szCs w:val="20"/>
          <w:lang w:val="es-CR"/>
        </w:rPr>
        <w:t>en</w:t>
      </w:r>
      <w:r w:rsidRPr="008077D3">
        <w:rPr>
          <w:rFonts w:eastAsiaTheme="minorHAnsi" w:cs="Verdana"/>
          <w:sz w:val="20"/>
          <w:szCs w:val="20"/>
          <w:lang w:val="es-CR"/>
        </w:rPr>
        <w:t xml:space="preserve"> </w:t>
      </w:r>
      <w:r w:rsidRPr="00B95914">
        <w:rPr>
          <w:rFonts w:eastAsiaTheme="minorHAnsi" w:cs="Verdana"/>
          <w:sz w:val="20"/>
          <w:szCs w:val="20"/>
          <w:lang w:val="es-CR"/>
        </w:rPr>
        <w:t>dicho</w:t>
      </w:r>
      <w:r w:rsidRPr="008077D3">
        <w:rPr>
          <w:rFonts w:eastAsiaTheme="minorHAnsi" w:cs="Verdana"/>
          <w:sz w:val="20"/>
          <w:szCs w:val="20"/>
          <w:lang w:val="es-CR"/>
        </w:rPr>
        <w:t xml:space="preserve"> </w:t>
      </w:r>
      <w:r w:rsidRPr="00B95914">
        <w:rPr>
          <w:rFonts w:eastAsiaTheme="minorHAnsi" w:cs="Verdana"/>
          <w:sz w:val="20"/>
          <w:szCs w:val="20"/>
          <w:lang w:val="es-CR"/>
        </w:rPr>
        <w:t>párrafo.</w:t>
      </w:r>
    </w:p>
    <w:p w14:paraId="713F78B4" w14:textId="2291D5C9" w:rsidR="003D2D37" w:rsidRDefault="00555077" w:rsidP="00555077">
      <w:pPr>
        <w:tabs>
          <w:tab w:val="left" w:pos="986"/>
        </w:tabs>
        <w:kinsoku w:val="0"/>
        <w:overflowPunct w:val="0"/>
        <w:autoSpaceDE w:val="0"/>
        <w:autoSpaceDN w:val="0"/>
        <w:adjustRightInd w:val="0"/>
        <w:spacing w:line="243" w:lineRule="exact"/>
        <w:jc w:val="both"/>
        <w:rPr>
          <w:rFonts w:eastAsiaTheme="minorHAnsi" w:cs="Verdana"/>
          <w:sz w:val="20"/>
          <w:szCs w:val="20"/>
          <w:lang w:val="es-CR"/>
        </w:rPr>
      </w:pPr>
      <w:r>
        <w:rPr>
          <w:rFonts w:eastAsiaTheme="minorHAnsi" w:cs="Verdana"/>
          <w:sz w:val="20"/>
          <w:szCs w:val="20"/>
          <w:lang w:val="es-CR"/>
        </w:rPr>
        <w:tab/>
      </w:r>
    </w:p>
    <w:p w14:paraId="3BCBC4EA" w14:textId="5EFB202B" w:rsidR="00E75C40" w:rsidRPr="00B95914" w:rsidRDefault="00E75C40" w:rsidP="008077D3">
      <w:pPr>
        <w:numPr>
          <w:ilvl w:val="0"/>
          <w:numId w:val="16"/>
        </w:numPr>
        <w:tabs>
          <w:tab w:val="left" w:pos="462"/>
        </w:tabs>
        <w:kinsoku w:val="0"/>
        <w:overflowPunct w:val="0"/>
        <w:autoSpaceDE w:val="0"/>
        <w:autoSpaceDN w:val="0"/>
        <w:adjustRightInd w:val="0"/>
        <w:spacing w:line="243" w:lineRule="exact"/>
        <w:ind w:left="0" w:firstLine="0"/>
        <w:jc w:val="both"/>
        <w:rPr>
          <w:rFonts w:eastAsiaTheme="minorHAnsi" w:cs="Verdana"/>
          <w:sz w:val="20"/>
          <w:szCs w:val="20"/>
          <w:lang w:val="es-CR"/>
        </w:rPr>
      </w:pPr>
      <w:r w:rsidRPr="00B95914">
        <w:rPr>
          <w:rFonts w:eastAsiaTheme="minorHAnsi" w:cs="Verdana"/>
          <w:sz w:val="20"/>
          <w:szCs w:val="20"/>
          <w:lang w:val="es-CR"/>
        </w:rPr>
        <w:t xml:space="preserve">El Estado debe pagar </w:t>
      </w:r>
      <w:r>
        <w:rPr>
          <w:rFonts w:eastAsiaTheme="minorHAnsi" w:cs="Verdana"/>
          <w:sz w:val="20"/>
          <w:szCs w:val="20"/>
          <w:lang w:val="es-CR"/>
        </w:rPr>
        <w:t>la cant</w:t>
      </w:r>
      <w:r w:rsidR="007639BB">
        <w:rPr>
          <w:rFonts w:eastAsiaTheme="minorHAnsi" w:cs="Verdana"/>
          <w:sz w:val="20"/>
          <w:szCs w:val="20"/>
          <w:lang w:val="es-CR"/>
        </w:rPr>
        <w:t>idad fijada en el</w:t>
      </w:r>
      <w:r w:rsidRPr="00B95914">
        <w:rPr>
          <w:rFonts w:eastAsiaTheme="minorHAnsi" w:cs="Verdana"/>
          <w:sz w:val="20"/>
          <w:szCs w:val="20"/>
          <w:lang w:val="es-CR"/>
        </w:rPr>
        <w:t xml:space="preserve"> párrafo</w:t>
      </w:r>
      <w:r>
        <w:rPr>
          <w:rFonts w:eastAsiaTheme="minorHAnsi" w:cs="Verdana"/>
          <w:sz w:val="20"/>
          <w:szCs w:val="20"/>
          <w:lang w:val="es-CR"/>
        </w:rPr>
        <w:t xml:space="preserve"> </w:t>
      </w:r>
      <w:r w:rsidRPr="00B95914">
        <w:rPr>
          <w:rFonts w:eastAsiaTheme="minorHAnsi" w:cs="Verdana"/>
          <w:sz w:val="20"/>
          <w:szCs w:val="20"/>
          <w:lang w:val="es-CR"/>
        </w:rPr>
        <w:t xml:space="preserve">359 de la Sentencia, por el reintegro de cosas y gastos, en los términos de los párrafos 351 y 364 a 369 de </w:t>
      </w:r>
      <w:r w:rsidR="007639BB">
        <w:rPr>
          <w:rFonts w:eastAsiaTheme="minorHAnsi" w:cs="Verdana"/>
          <w:sz w:val="20"/>
          <w:szCs w:val="20"/>
          <w:lang w:val="es-CR"/>
        </w:rPr>
        <w:t>la</w:t>
      </w:r>
      <w:r w:rsidRPr="00B95914">
        <w:rPr>
          <w:rFonts w:eastAsiaTheme="minorHAnsi" w:cs="Verdana"/>
          <w:sz w:val="20"/>
          <w:szCs w:val="20"/>
          <w:lang w:val="es-CR"/>
        </w:rPr>
        <w:t xml:space="preserve"> Sentencia.</w:t>
      </w:r>
    </w:p>
    <w:p w14:paraId="1917A96F" w14:textId="77777777" w:rsidR="00E75C40" w:rsidRDefault="00E75C40" w:rsidP="008077D3">
      <w:pPr>
        <w:tabs>
          <w:tab w:val="left" w:pos="462"/>
        </w:tabs>
        <w:kinsoku w:val="0"/>
        <w:overflowPunct w:val="0"/>
        <w:autoSpaceDE w:val="0"/>
        <w:autoSpaceDN w:val="0"/>
        <w:adjustRightInd w:val="0"/>
        <w:spacing w:line="243" w:lineRule="exact"/>
        <w:jc w:val="both"/>
        <w:rPr>
          <w:rFonts w:eastAsiaTheme="minorHAnsi" w:cs="Verdana"/>
          <w:sz w:val="20"/>
          <w:szCs w:val="20"/>
          <w:lang w:val="es-CR"/>
        </w:rPr>
      </w:pPr>
    </w:p>
    <w:p w14:paraId="31A12DF2" w14:textId="7DB673C1" w:rsidR="004F2A4A" w:rsidRDefault="004F2A4A" w:rsidP="008077D3">
      <w:pPr>
        <w:numPr>
          <w:ilvl w:val="0"/>
          <w:numId w:val="16"/>
        </w:numPr>
        <w:tabs>
          <w:tab w:val="left" w:pos="462"/>
        </w:tabs>
        <w:kinsoku w:val="0"/>
        <w:overflowPunct w:val="0"/>
        <w:autoSpaceDE w:val="0"/>
        <w:autoSpaceDN w:val="0"/>
        <w:adjustRightInd w:val="0"/>
        <w:spacing w:line="243" w:lineRule="exact"/>
        <w:ind w:left="0" w:firstLine="0"/>
        <w:jc w:val="both"/>
        <w:rPr>
          <w:rFonts w:eastAsiaTheme="minorHAnsi" w:cs="Verdana"/>
          <w:sz w:val="20"/>
          <w:szCs w:val="20"/>
          <w:lang w:val="es-CR"/>
        </w:rPr>
      </w:pPr>
      <w:r w:rsidRPr="004F2A4A">
        <w:rPr>
          <w:rFonts w:eastAsiaTheme="minorHAnsi" w:cs="Verdana"/>
          <w:sz w:val="20"/>
          <w:szCs w:val="20"/>
          <w:lang w:val="es-CR"/>
        </w:rPr>
        <w:t xml:space="preserve">El Estado debe reintegrar al Fondo de Asistencia Legal de Víctimas de la Corte Interamericana de Derechos Humanos la cantidad erogada durante la tramitación del presente caso, en los términos de lo establecido en el párrafo 363 de </w:t>
      </w:r>
      <w:r w:rsidR="00555077">
        <w:rPr>
          <w:rFonts w:eastAsiaTheme="minorHAnsi" w:cs="Verdana"/>
          <w:sz w:val="20"/>
          <w:szCs w:val="20"/>
          <w:lang w:val="es-CR"/>
        </w:rPr>
        <w:t>la</w:t>
      </w:r>
      <w:r>
        <w:rPr>
          <w:rFonts w:eastAsiaTheme="minorHAnsi" w:cs="Verdana"/>
          <w:sz w:val="20"/>
          <w:szCs w:val="20"/>
          <w:lang w:val="es-CR"/>
        </w:rPr>
        <w:t xml:space="preserve"> </w:t>
      </w:r>
      <w:r w:rsidRPr="004F2A4A">
        <w:rPr>
          <w:rFonts w:eastAsiaTheme="minorHAnsi" w:cs="Verdana"/>
          <w:sz w:val="20"/>
          <w:szCs w:val="20"/>
          <w:lang w:val="es-CR"/>
        </w:rPr>
        <w:t>Sentencia.</w:t>
      </w:r>
    </w:p>
    <w:p w14:paraId="189BD9A2" w14:textId="77777777" w:rsidR="00EC21E2" w:rsidRDefault="00EC21E2" w:rsidP="00E75C40">
      <w:pPr>
        <w:kinsoku w:val="0"/>
        <w:overflowPunct w:val="0"/>
        <w:autoSpaceDE w:val="0"/>
        <w:autoSpaceDN w:val="0"/>
        <w:adjustRightInd w:val="0"/>
        <w:ind w:right="116"/>
        <w:jc w:val="both"/>
        <w:rPr>
          <w:rFonts w:eastAsiaTheme="minorHAnsi" w:cs="Verdana"/>
          <w:sz w:val="20"/>
          <w:szCs w:val="20"/>
          <w:lang w:val="es-CR"/>
        </w:rPr>
      </w:pPr>
    </w:p>
    <w:p w14:paraId="419A889F" w14:textId="073252E9" w:rsidR="00EC21E2" w:rsidRDefault="00EC21E2" w:rsidP="00E75C40">
      <w:pPr>
        <w:kinsoku w:val="0"/>
        <w:overflowPunct w:val="0"/>
        <w:autoSpaceDE w:val="0"/>
        <w:autoSpaceDN w:val="0"/>
        <w:adjustRightInd w:val="0"/>
        <w:ind w:right="116"/>
        <w:jc w:val="both"/>
        <w:rPr>
          <w:rFonts w:eastAsiaTheme="minorHAnsi" w:cs="Verdana"/>
          <w:sz w:val="20"/>
          <w:szCs w:val="20"/>
          <w:lang w:val="es-CR"/>
        </w:rPr>
      </w:pPr>
      <w:r>
        <w:rPr>
          <w:rFonts w:eastAsiaTheme="minorHAnsi" w:cs="Verdana"/>
          <w:b/>
          <w:bCs/>
          <w:sz w:val="20"/>
          <w:szCs w:val="20"/>
          <w:lang w:val="es-CR"/>
        </w:rPr>
        <w:t>Cumplimiento parcial:</w:t>
      </w:r>
    </w:p>
    <w:p w14:paraId="083A3ACD" w14:textId="77777777" w:rsidR="00EC21E2" w:rsidRDefault="00EC21E2" w:rsidP="00E75C40">
      <w:pPr>
        <w:kinsoku w:val="0"/>
        <w:overflowPunct w:val="0"/>
        <w:autoSpaceDE w:val="0"/>
        <w:autoSpaceDN w:val="0"/>
        <w:adjustRightInd w:val="0"/>
        <w:ind w:right="116"/>
        <w:jc w:val="both"/>
        <w:rPr>
          <w:rFonts w:eastAsiaTheme="minorHAnsi" w:cs="Verdana"/>
          <w:sz w:val="20"/>
          <w:szCs w:val="20"/>
          <w:lang w:val="es-CR"/>
        </w:rPr>
      </w:pPr>
    </w:p>
    <w:p w14:paraId="720D5E4D" w14:textId="561FABEB" w:rsidR="00FA69E0" w:rsidRPr="00B95914" w:rsidRDefault="00FA69E0" w:rsidP="008077D3">
      <w:pPr>
        <w:numPr>
          <w:ilvl w:val="0"/>
          <w:numId w:val="16"/>
        </w:numPr>
        <w:tabs>
          <w:tab w:val="left" w:pos="462"/>
        </w:tabs>
        <w:kinsoku w:val="0"/>
        <w:overflowPunct w:val="0"/>
        <w:autoSpaceDE w:val="0"/>
        <w:autoSpaceDN w:val="0"/>
        <w:adjustRightInd w:val="0"/>
        <w:spacing w:line="243" w:lineRule="exact"/>
        <w:ind w:left="0" w:firstLine="0"/>
        <w:jc w:val="both"/>
        <w:rPr>
          <w:rFonts w:eastAsiaTheme="minorHAnsi" w:cs="Verdana"/>
          <w:sz w:val="20"/>
          <w:szCs w:val="20"/>
          <w:lang w:val="es-CR"/>
        </w:rPr>
      </w:pPr>
      <w:r w:rsidRPr="00B95914">
        <w:rPr>
          <w:rFonts w:eastAsiaTheme="minorHAnsi" w:cs="Verdana"/>
          <w:sz w:val="20"/>
          <w:szCs w:val="20"/>
          <w:lang w:val="es-CR"/>
        </w:rPr>
        <w:t>El Estado debe pagar las cantidades fijadas en</w:t>
      </w:r>
      <w:r w:rsidRPr="00B95914">
        <w:rPr>
          <w:rFonts w:eastAsiaTheme="minorHAnsi" w:cs="Verdana"/>
          <w:spacing w:val="15"/>
          <w:sz w:val="20"/>
          <w:szCs w:val="20"/>
          <w:lang w:val="es-CR"/>
        </w:rPr>
        <w:t xml:space="preserve"> </w:t>
      </w:r>
      <w:r w:rsidRPr="00B95914">
        <w:rPr>
          <w:rFonts w:eastAsiaTheme="minorHAnsi" w:cs="Verdana"/>
          <w:sz w:val="20"/>
          <w:szCs w:val="20"/>
          <w:lang w:val="es-CR"/>
        </w:rPr>
        <w:t>los párrafos 345, 346, 350</w:t>
      </w:r>
      <w:r>
        <w:rPr>
          <w:rFonts w:eastAsiaTheme="minorHAnsi" w:cs="Verdana"/>
          <w:sz w:val="20"/>
          <w:szCs w:val="20"/>
          <w:lang w:val="es-CR"/>
        </w:rPr>
        <w:t xml:space="preserve"> y</w:t>
      </w:r>
      <w:r w:rsidRPr="00B95914">
        <w:rPr>
          <w:rFonts w:eastAsiaTheme="minorHAnsi" w:cs="Verdana"/>
          <w:sz w:val="20"/>
          <w:szCs w:val="20"/>
          <w:lang w:val="es-CR"/>
        </w:rPr>
        <w:t xml:space="preserve"> 352 de la Sentencia, por concepto de indemnizaciones por daños materiales e </w:t>
      </w:r>
      <w:r>
        <w:rPr>
          <w:rFonts w:eastAsiaTheme="minorHAnsi" w:cs="Verdana"/>
          <w:sz w:val="20"/>
          <w:szCs w:val="20"/>
          <w:lang w:val="es-CR"/>
        </w:rPr>
        <w:t>i</w:t>
      </w:r>
      <w:r w:rsidRPr="00B95914">
        <w:rPr>
          <w:rFonts w:eastAsiaTheme="minorHAnsi" w:cs="Verdana"/>
          <w:sz w:val="20"/>
          <w:szCs w:val="20"/>
          <w:lang w:val="es-CR"/>
        </w:rPr>
        <w:t xml:space="preserve">nmateriales, en los términos de los párrafos 351 y 364 a 369 de </w:t>
      </w:r>
      <w:r>
        <w:rPr>
          <w:rFonts w:eastAsiaTheme="minorHAnsi" w:cs="Verdana"/>
          <w:sz w:val="20"/>
          <w:szCs w:val="20"/>
          <w:lang w:val="es-CR"/>
        </w:rPr>
        <w:t>la</w:t>
      </w:r>
      <w:r w:rsidRPr="00B95914">
        <w:rPr>
          <w:rFonts w:eastAsiaTheme="minorHAnsi" w:cs="Verdana"/>
          <w:sz w:val="20"/>
          <w:szCs w:val="20"/>
          <w:lang w:val="es-CR"/>
        </w:rPr>
        <w:t xml:space="preserve"> Sentencia.</w:t>
      </w:r>
    </w:p>
    <w:p w14:paraId="21CD82B2" w14:textId="77777777" w:rsidR="00EC21E2" w:rsidRPr="00EC21E2" w:rsidRDefault="00EC21E2" w:rsidP="00E75C40">
      <w:pPr>
        <w:kinsoku w:val="0"/>
        <w:overflowPunct w:val="0"/>
        <w:autoSpaceDE w:val="0"/>
        <w:autoSpaceDN w:val="0"/>
        <w:adjustRightInd w:val="0"/>
        <w:ind w:right="116"/>
        <w:jc w:val="both"/>
        <w:rPr>
          <w:rFonts w:eastAsiaTheme="minorHAnsi" w:cs="Verdana"/>
          <w:sz w:val="20"/>
          <w:szCs w:val="20"/>
          <w:lang w:val="es-CR"/>
        </w:rPr>
      </w:pPr>
    </w:p>
    <w:p w14:paraId="71994E59" w14:textId="315AB118" w:rsidR="00EC49C4" w:rsidRDefault="00EC49C4" w:rsidP="00EC49C4">
      <w:pPr>
        <w:jc w:val="both"/>
        <w:rPr>
          <w:rFonts w:eastAsia="Verdana" w:cs="Verdana"/>
          <w:sz w:val="20"/>
          <w:szCs w:val="20"/>
          <w:lang w:val="es-ES"/>
        </w:rPr>
      </w:pPr>
      <w:r w:rsidRPr="0DB43DDB">
        <w:rPr>
          <w:rFonts w:eastAsia="Verdana" w:cs="Verdana"/>
          <w:sz w:val="20"/>
          <w:szCs w:val="20"/>
          <w:lang w:val="es-ES"/>
        </w:rPr>
        <w:t xml:space="preserve">En </w:t>
      </w:r>
      <w:r w:rsidR="00022F71">
        <w:rPr>
          <w:rFonts w:eastAsia="Verdana" w:cs="Verdana"/>
          <w:sz w:val="20"/>
          <w:szCs w:val="20"/>
          <w:lang w:val="es-ES"/>
        </w:rPr>
        <w:t>el</w:t>
      </w:r>
      <w:r w:rsidRPr="0DB43DDB">
        <w:rPr>
          <w:rFonts w:eastAsia="Verdana" w:cs="Verdana"/>
          <w:sz w:val="20"/>
          <w:szCs w:val="20"/>
          <w:lang w:val="es-ES"/>
        </w:rPr>
        <w:t xml:space="preserve"> Considerandos </w:t>
      </w:r>
      <w:r w:rsidR="00022F71">
        <w:rPr>
          <w:rFonts w:eastAsia="Verdana" w:cs="Verdana"/>
          <w:sz w:val="20"/>
          <w:szCs w:val="20"/>
          <w:lang w:val="es-ES"/>
        </w:rPr>
        <w:t>13</w:t>
      </w:r>
      <w:r w:rsidRPr="0DB43DDB">
        <w:rPr>
          <w:rFonts w:eastAsia="Verdana" w:cs="Verdana"/>
          <w:sz w:val="20"/>
          <w:szCs w:val="20"/>
          <w:lang w:val="es-ES"/>
        </w:rPr>
        <w:t xml:space="preserve"> de la Resolución de la Corte de 26 de junio 2023, se explica lo que continúa pendiente de cumplimiento de la presente medida de reparación:</w:t>
      </w:r>
    </w:p>
    <w:p w14:paraId="215F9F6D" w14:textId="77777777" w:rsidR="00EC49C4" w:rsidRDefault="00EC49C4" w:rsidP="00EC49C4">
      <w:pPr>
        <w:jc w:val="both"/>
        <w:rPr>
          <w:rFonts w:eastAsia="Verdana" w:cs="Verdana"/>
          <w:sz w:val="20"/>
          <w:szCs w:val="20"/>
          <w:lang w:val="es-ES"/>
        </w:rPr>
      </w:pPr>
    </w:p>
    <w:p w14:paraId="31A12DF3" w14:textId="3C1FFBBB" w:rsidR="000115F8" w:rsidRPr="00B41125" w:rsidRDefault="00022F71" w:rsidP="00022F71">
      <w:pPr>
        <w:tabs>
          <w:tab w:val="left" w:pos="720"/>
        </w:tabs>
        <w:ind w:left="720" w:right="-90"/>
        <w:jc w:val="both"/>
        <w:rPr>
          <w:sz w:val="22"/>
          <w:szCs w:val="22"/>
          <w:lang w:val="es-ES"/>
        </w:rPr>
      </w:pPr>
      <w:r w:rsidRPr="00B41125">
        <w:rPr>
          <w:sz w:val="18"/>
          <w:szCs w:val="28"/>
        </w:rPr>
        <w:t>13. En virtud de lo expuesto, la Corte concluye que México ha dado cumplimiento parcial a la reparación ordenada en el punto resolutivo vigésimo de la Sentencia, en tanto pagó a 31 víctimas la totalidad de los montos ordenados en la Sentencia. Queda pendiente que el Estado pague los intereses moratorios respecto de aquellas víctimas a quienes pagó tardíamente, así como la totalidad del monto ordenado en la Sentencia a tres víctimas y, en caso de corresponder, los intereses moratorios, y que explique a qué se debe la diferencia en el pago a la víctima A.E.B (supra Considerando 11).</w:t>
      </w:r>
    </w:p>
    <w:sectPr w:rsidR="000115F8" w:rsidRPr="00B41125" w:rsidSect="00C00EEB">
      <w:headerReference w:type="default" r:id="rId7"/>
      <w:footerReference w:type="default" r:id="rId8"/>
      <w:pgSz w:w="12240" w:h="15840"/>
      <w:pgMar w:top="1440" w:right="1247" w:bottom="1440"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A24" w14:textId="77777777" w:rsidR="00A24946" w:rsidRDefault="00A24946" w:rsidP="009F7EF4">
      <w:r>
        <w:separator/>
      </w:r>
    </w:p>
  </w:endnote>
  <w:endnote w:type="continuationSeparator" w:id="0">
    <w:p w14:paraId="63F5B8FC" w14:textId="77777777" w:rsidR="00A24946" w:rsidRDefault="00A2494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2DFA"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1A12DFB"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0ACC" w14:textId="77777777" w:rsidR="00A24946" w:rsidRDefault="00A24946" w:rsidP="009F7EF4">
      <w:r>
        <w:separator/>
      </w:r>
    </w:p>
  </w:footnote>
  <w:footnote w:type="continuationSeparator" w:id="0">
    <w:p w14:paraId="1F465EA7" w14:textId="77777777" w:rsidR="00A24946" w:rsidRDefault="00A2494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31A12DF8"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00EEB">
          <w:rPr>
            <w:noProof/>
            <w:sz w:val="20"/>
            <w:szCs w:val="20"/>
          </w:rPr>
          <w:t>1</w:t>
        </w:r>
        <w:r w:rsidRPr="00675FE7">
          <w:rPr>
            <w:noProof/>
            <w:sz w:val="20"/>
            <w:szCs w:val="20"/>
          </w:rPr>
          <w:fldChar w:fldCharType="end"/>
        </w:r>
      </w:p>
    </w:sdtContent>
  </w:sdt>
  <w:p w14:paraId="31A12DF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7600E96"/>
    <w:multiLevelType w:val="hybridMultilevel"/>
    <w:tmpl w:val="916445C4"/>
    <w:lvl w:ilvl="0" w:tplc="04090019">
      <w:start w:val="1"/>
      <w:numFmt w:val="lowerLetter"/>
      <w:lvlText w:val="%1)"/>
      <w:lvlJc w:val="left"/>
      <w:pPr>
        <w:tabs>
          <w:tab w:val="num" w:pos="1440"/>
        </w:tabs>
        <w:ind w:left="1440" w:hanging="360"/>
      </w:pPr>
      <w:rPr>
        <w:rFonts w:cs="Times New Roman" w:hint="default"/>
        <w:b w:val="0"/>
        <w:i w:val="0"/>
        <w:sz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9E6654"/>
    <w:multiLevelType w:val="hybridMultilevel"/>
    <w:tmpl w:val="F85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F018F"/>
    <w:multiLevelType w:val="hybridMultilevel"/>
    <w:tmpl w:val="DE1A0778"/>
    <w:lvl w:ilvl="0" w:tplc="04090019">
      <w:start w:val="1"/>
      <w:numFmt w:val="lowerLetter"/>
      <w:lvlText w:val="%1)"/>
      <w:lvlJc w:val="left"/>
      <w:pPr>
        <w:tabs>
          <w:tab w:val="num" w:pos="1080"/>
        </w:tabs>
        <w:ind w:left="1080" w:hanging="360"/>
      </w:pPr>
      <w:rPr>
        <w:rFonts w:cs="Times New Roman" w:hint="default"/>
        <w:b w:val="0"/>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2"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3"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74845"/>
    <w:multiLevelType w:val="hybridMultilevel"/>
    <w:tmpl w:val="1C2E8FCA"/>
    <w:lvl w:ilvl="0" w:tplc="F2E49F2E">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38307280">
    <w:abstractNumId w:val="14"/>
  </w:num>
  <w:num w:numId="2" w16cid:durableId="504518127">
    <w:abstractNumId w:val="6"/>
  </w:num>
  <w:num w:numId="3" w16cid:durableId="1468739905">
    <w:abstractNumId w:val="12"/>
  </w:num>
  <w:num w:numId="4" w16cid:durableId="1932160775">
    <w:abstractNumId w:val="2"/>
  </w:num>
  <w:num w:numId="5" w16cid:durableId="1760524321">
    <w:abstractNumId w:val="4"/>
  </w:num>
  <w:num w:numId="6" w16cid:durableId="883295758">
    <w:abstractNumId w:val="8"/>
  </w:num>
  <w:num w:numId="7" w16cid:durableId="1371151639">
    <w:abstractNumId w:val="11"/>
  </w:num>
  <w:num w:numId="8" w16cid:durableId="1559585023">
    <w:abstractNumId w:val="7"/>
  </w:num>
  <w:num w:numId="9" w16cid:durableId="145443541">
    <w:abstractNumId w:val="9"/>
  </w:num>
  <w:num w:numId="10" w16cid:durableId="985822568">
    <w:abstractNumId w:val="10"/>
  </w:num>
  <w:num w:numId="11" w16cid:durableId="2092924718">
    <w:abstractNumId w:val="13"/>
  </w:num>
  <w:num w:numId="12" w16cid:durableId="1048996997">
    <w:abstractNumId w:val="3"/>
  </w:num>
  <w:num w:numId="13" w16cid:durableId="1509902744">
    <w:abstractNumId w:val="5"/>
  </w:num>
  <w:num w:numId="14" w16cid:durableId="410271314">
    <w:abstractNumId w:val="1"/>
  </w:num>
  <w:num w:numId="15" w16cid:durableId="1704280903">
    <w:abstractNumId w:val="15"/>
  </w:num>
  <w:num w:numId="16" w16cid:durableId="180743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22F71"/>
    <w:rsid w:val="00064B15"/>
    <w:rsid w:val="000930F6"/>
    <w:rsid w:val="000C5CBB"/>
    <w:rsid w:val="00101CC6"/>
    <w:rsid w:val="00111252"/>
    <w:rsid w:val="001426AA"/>
    <w:rsid w:val="00151E18"/>
    <w:rsid w:val="001E79ED"/>
    <w:rsid w:val="00296F77"/>
    <w:rsid w:val="002B3295"/>
    <w:rsid w:val="002B7E8D"/>
    <w:rsid w:val="002E2002"/>
    <w:rsid w:val="003A7E5E"/>
    <w:rsid w:val="003C561A"/>
    <w:rsid w:val="003D2D37"/>
    <w:rsid w:val="00474D04"/>
    <w:rsid w:val="00476F6E"/>
    <w:rsid w:val="004D7F8B"/>
    <w:rsid w:val="004F2A4A"/>
    <w:rsid w:val="00555077"/>
    <w:rsid w:val="005C68A4"/>
    <w:rsid w:val="005D1A85"/>
    <w:rsid w:val="00601077"/>
    <w:rsid w:val="006065EC"/>
    <w:rsid w:val="00617B3E"/>
    <w:rsid w:val="006663F3"/>
    <w:rsid w:val="006C38A6"/>
    <w:rsid w:val="006F2690"/>
    <w:rsid w:val="007057AE"/>
    <w:rsid w:val="00742038"/>
    <w:rsid w:val="0075509B"/>
    <w:rsid w:val="007639BB"/>
    <w:rsid w:val="00774B82"/>
    <w:rsid w:val="00792726"/>
    <w:rsid w:val="008077D3"/>
    <w:rsid w:val="00926FFB"/>
    <w:rsid w:val="00953993"/>
    <w:rsid w:val="009832C0"/>
    <w:rsid w:val="009B01F7"/>
    <w:rsid w:val="009D22BE"/>
    <w:rsid w:val="009F7EF4"/>
    <w:rsid w:val="00A07758"/>
    <w:rsid w:val="00A24946"/>
    <w:rsid w:val="00A27BEB"/>
    <w:rsid w:val="00AC4EB2"/>
    <w:rsid w:val="00AE0035"/>
    <w:rsid w:val="00B11B9B"/>
    <w:rsid w:val="00B32A37"/>
    <w:rsid w:val="00B353D1"/>
    <w:rsid w:val="00B375FF"/>
    <w:rsid w:val="00B41125"/>
    <w:rsid w:val="00BA6BA9"/>
    <w:rsid w:val="00BC5824"/>
    <w:rsid w:val="00C00EEB"/>
    <w:rsid w:val="00C178BC"/>
    <w:rsid w:val="00C4747D"/>
    <w:rsid w:val="00C77C0C"/>
    <w:rsid w:val="00C807CF"/>
    <w:rsid w:val="00D3440D"/>
    <w:rsid w:val="00E42392"/>
    <w:rsid w:val="00E75C40"/>
    <w:rsid w:val="00E85D9E"/>
    <w:rsid w:val="00EA0D60"/>
    <w:rsid w:val="00EC21E2"/>
    <w:rsid w:val="00EC49C4"/>
    <w:rsid w:val="00F330B4"/>
    <w:rsid w:val="00F50093"/>
    <w:rsid w:val="00F95487"/>
    <w:rsid w:val="00FA69E0"/>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2DEF"/>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notaalfinal">
    <w:name w:val="endnote text"/>
    <w:basedOn w:val="Normal"/>
    <w:link w:val="TextonotaalfinalCar"/>
    <w:uiPriority w:val="99"/>
    <w:semiHidden/>
    <w:unhideWhenUsed/>
    <w:rsid w:val="00742038"/>
    <w:rPr>
      <w:rFonts w:ascii="Calibri" w:eastAsia="Calibri" w:hAnsi="Calibri" w:cs="Times New Roman"/>
      <w:sz w:val="20"/>
      <w:szCs w:val="20"/>
      <w:lang w:val="es-CR"/>
    </w:rPr>
  </w:style>
  <w:style w:type="character" w:customStyle="1" w:styleId="TextonotaalfinalCar">
    <w:name w:val="Texto nota al final Car"/>
    <w:basedOn w:val="Fuentedeprrafopredeter"/>
    <w:link w:val="Textonotaalfinal"/>
    <w:uiPriority w:val="99"/>
    <w:semiHidden/>
    <w:rsid w:val="00742038"/>
    <w:rPr>
      <w:rFonts w:ascii="Calibri" w:eastAsia="Calibri" w:hAnsi="Calibri" w:cs="Times New Roman"/>
      <w:sz w:val="20"/>
      <w:szCs w:val="20"/>
      <w:lang w:val="es-CR"/>
    </w:rPr>
  </w:style>
  <w:style w:type="paragraph" w:styleId="Textoindependiente">
    <w:name w:val="Body Text"/>
    <w:basedOn w:val="Normal"/>
    <w:link w:val="TextoindependienteCar"/>
    <w:uiPriority w:val="1"/>
    <w:qFormat/>
    <w:rsid w:val="004F2A4A"/>
    <w:pPr>
      <w:autoSpaceDE w:val="0"/>
      <w:autoSpaceDN w:val="0"/>
      <w:adjustRightInd w:val="0"/>
      <w:ind w:left="39"/>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4F2A4A"/>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1579</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Hannia Sanchez</cp:lastModifiedBy>
  <cp:revision>2</cp:revision>
  <cp:lastPrinted>2023-10-26T16:03:00Z</cp:lastPrinted>
  <dcterms:created xsi:type="dcterms:W3CDTF">2023-10-26T17:13:00Z</dcterms:created>
  <dcterms:modified xsi:type="dcterms:W3CDTF">2023-10-26T17:13:00Z</dcterms:modified>
</cp:coreProperties>
</file>